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424DD" w14:textId="6353AACC" w:rsidR="00F32585" w:rsidRPr="003B199C" w:rsidRDefault="005844FB" w:rsidP="003B199C">
      <w:pPr>
        <w:numPr>
          <w:ilvl w:val="0"/>
          <w:numId w:val="1"/>
        </w:numPr>
        <w:tabs>
          <w:tab w:val="clear" w:pos="720"/>
          <w:tab w:val="num" w:pos="360"/>
        </w:tabs>
        <w:spacing w:before="240"/>
        <w:ind w:left="360" w:hanging="357"/>
        <w:jc w:val="both"/>
        <w:rPr>
          <w:rFonts w:ascii="Arial" w:eastAsia="Calibri" w:hAnsi="Arial" w:cs="Arial"/>
          <w:bCs/>
          <w:color w:val="auto"/>
          <w:sz w:val="22"/>
          <w:szCs w:val="22"/>
          <w:lang w:eastAsia="en-US"/>
        </w:rPr>
      </w:pPr>
      <w:r w:rsidRPr="003B199C">
        <w:rPr>
          <w:rFonts w:ascii="Arial" w:eastAsia="Calibri" w:hAnsi="Arial" w:cs="Arial"/>
          <w:bCs/>
          <w:color w:val="auto"/>
          <w:sz w:val="22"/>
          <w:szCs w:val="22"/>
          <w:lang w:eastAsia="en-US"/>
        </w:rPr>
        <w:t>On 26 July 2019, the Queensland Government publicly released</w:t>
      </w:r>
      <w:r w:rsidR="007760FC" w:rsidRPr="003B199C">
        <w:rPr>
          <w:rFonts w:ascii="Arial" w:eastAsia="Calibri" w:hAnsi="Arial" w:cs="Arial"/>
          <w:bCs/>
          <w:color w:val="auto"/>
          <w:sz w:val="22"/>
          <w:szCs w:val="22"/>
          <w:lang w:eastAsia="en-US"/>
        </w:rPr>
        <w:t xml:space="preserve"> its interim response to</w:t>
      </w:r>
      <w:r w:rsidRPr="003B199C">
        <w:rPr>
          <w:rFonts w:ascii="Arial" w:eastAsia="Calibri" w:hAnsi="Arial" w:cs="Arial"/>
          <w:bCs/>
          <w:color w:val="auto"/>
          <w:sz w:val="22"/>
          <w:szCs w:val="22"/>
          <w:lang w:eastAsia="en-US"/>
        </w:rPr>
        <w:t xml:space="preserve"> the</w:t>
      </w:r>
      <w:r w:rsidR="002B44E7" w:rsidRPr="003B199C">
        <w:rPr>
          <w:rFonts w:ascii="Arial" w:eastAsia="Calibri" w:hAnsi="Arial" w:cs="Arial"/>
          <w:bCs/>
          <w:color w:val="auto"/>
          <w:sz w:val="22"/>
          <w:szCs w:val="22"/>
          <w:lang w:eastAsia="en-US"/>
        </w:rPr>
        <w:t xml:space="preserve"> two-year </w:t>
      </w:r>
      <w:r w:rsidR="00D555D0" w:rsidRPr="003B199C">
        <w:rPr>
          <w:rFonts w:ascii="Arial" w:eastAsia="Calibri" w:hAnsi="Arial" w:cs="Arial"/>
          <w:bCs/>
          <w:color w:val="auto"/>
          <w:sz w:val="22"/>
          <w:szCs w:val="22"/>
          <w:lang w:eastAsia="en-US"/>
        </w:rPr>
        <w:t xml:space="preserve">independent evaluation report </w:t>
      </w:r>
      <w:r w:rsidR="005F09B9" w:rsidRPr="003B199C">
        <w:rPr>
          <w:rFonts w:ascii="Arial" w:eastAsia="Calibri" w:hAnsi="Arial" w:cs="Arial"/>
          <w:bCs/>
          <w:color w:val="auto"/>
          <w:sz w:val="22"/>
          <w:szCs w:val="22"/>
          <w:lang w:eastAsia="en-US"/>
        </w:rPr>
        <w:t>on</w:t>
      </w:r>
      <w:r w:rsidRPr="003B199C">
        <w:rPr>
          <w:rFonts w:ascii="Arial" w:eastAsia="Calibri" w:hAnsi="Arial" w:cs="Arial"/>
          <w:bCs/>
          <w:color w:val="auto"/>
          <w:sz w:val="22"/>
          <w:szCs w:val="22"/>
          <w:lang w:eastAsia="en-US"/>
        </w:rPr>
        <w:t xml:space="preserve"> the </w:t>
      </w:r>
      <w:r w:rsidRPr="003B199C">
        <w:rPr>
          <w:rFonts w:ascii="Arial" w:eastAsia="Calibri" w:hAnsi="Arial" w:cs="Arial"/>
          <w:bCs/>
          <w:i/>
          <w:color w:val="auto"/>
          <w:sz w:val="22"/>
          <w:szCs w:val="22"/>
          <w:lang w:eastAsia="en-US"/>
        </w:rPr>
        <w:t>Tackling Alcohol-Fuelled Violence Policy</w:t>
      </w:r>
      <w:r w:rsidRPr="003B199C">
        <w:rPr>
          <w:rFonts w:ascii="Arial" w:eastAsia="Calibri" w:hAnsi="Arial" w:cs="Arial"/>
          <w:bCs/>
          <w:color w:val="auto"/>
          <w:sz w:val="22"/>
          <w:szCs w:val="22"/>
          <w:lang w:eastAsia="en-US"/>
        </w:rPr>
        <w:t xml:space="preserve"> </w:t>
      </w:r>
      <w:r w:rsidR="00F32585" w:rsidRPr="003B199C">
        <w:rPr>
          <w:rFonts w:ascii="Arial" w:eastAsia="Calibri" w:hAnsi="Arial" w:cs="Arial"/>
          <w:bCs/>
          <w:color w:val="auto"/>
          <w:sz w:val="22"/>
          <w:szCs w:val="22"/>
          <w:lang w:eastAsia="en-US"/>
        </w:rPr>
        <w:t xml:space="preserve">by the </w:t>
      </w:r>
      <w:r w:rsidRPr="003B199C">
        <w:rPr>
          <w:rFonts w:ascii="Arial" w:hAnsi="Arial" w:cs="Arial"/>
          <w:bCs/>
          <w:i/>
          <w:sz w:val="22"/>
          <w:szCs w:val="22"/>
        </w:rPr>
        <w:t>Queensland Alcohol-related violence and Night Time Economy Monitoring</w:t>
      </w:r>
      <w:r w:rsidRPr="003B199C">
        <w:rPr>
          <w:rFonts w:ascii="Arial" w:hAnsi="Arial" w:cs="Arial"/>
          <w:bCs/>
          <w:iCs/>
          <w:sz w:val="22"/>
          <w:szCs w:val="22"/>
        </w:rPr>
        <w:t xml:space="preserve"> project</w:t>
      </w:r>
      <w:r w:rsidR="002B44E7" w:rsidRPr="003B199C">
        <w:rPr>
          <w:rFonts w:ascii="Arial" w:eastAsia="Calibri" w:hAnsi="Arial" w:cs="Arial"/>
          <w:bCs/>
          <w:color w:val="auto"/>
          <w:sz w:val="22"/>
          <w:szCs w:val="22"/>
          <w:lang w:eastAsia="en-US"/>
        </w:rPr>
        <w:t xml:space="preserve"> </w:t>
      </w:r>
      <w:r w:rsidR="00FE040C" w:rsidRPr="003B199C">
        <w:rPr>
          <w:rFonts w:ascii="Arial" w:eastAsia="Calibri" w:hAnsi="Arial" w:cs="Arial"/>
          <w:bCs/>
          <w:color w:val="auto"/>
          <w:sz w:val="22"/>
          <w:szCs w:val="22"/>
          <w:lang w:eastAsia="en-US"/>
        </w:rPr>
        <w:t>(</w:t>
      </w:r>
      <w:r w:rsidR="00CB0BC1" w:rsidRPr="003B199C">
        <w:rPr>
          <w:rFonts w:ascii="Arial" w:eastAsia="Calibri" w:hAnsi="Arial" w:cs="Arial"/>
          <w:bCs/>
          <w:color w:val="auto"/>
          <w:sz w:val="22"/>
          <w:szCs w:val="22"/>
          <w:lang w:eastAsia="en-US"/>
        </w:rPr>
        <w:t xml:space="preserve">TAFV </w:t>
      </w:r>
      <w:r w:rsidR="00860811" w:rsidRPr="003B199C">
        <w:rPr>
          <w:rFonts w:ascii="Arial" w:eastAsia="Calibri" w:hAnsi="Arial" w:cs="Arial"/>
          <w:bCs/>
          <w:color w:val="auto"/>
          <w:sz w:val="22"/>
          <w:szCs w:val="22"/>
          <w:lang w:eastAsia="en-US"/>
        </w:rPr>
        <w:t xml:space="preserve">Policy </w:t>
      </w:r>
      <w:r w:rsidR="00FE040C" w:rsidRPr="003B199C">
        <w:rPr>
          <w:rFonts w:ascii="Arial" w:eastAsia="Calibri" w:hAnsi="Arial" w:cs="Arial"/>
          <w:bCs/>
          <w:color w:val="auto"/>
          <w:sz w:val="22"/>
          <w:szCs w:val="22"/>
          <w:lang w:eastAsia="en-US"/>
        </w:rPr>
        <w:t>evaluation r</w:t>
      </w:r>
      <w:r w:rsidR="00120D89" w:rsidRPr="003B199C">
        <w:rPr>
          <w:rFonts w:ascii="Arial" w:eastAsia="Calibri" w:hAnsi="Arial" w:cs="Arial"/>
          <w:bCs/>
          <w:color w:val="auto"/>
          <w:sz w:val="22"/>
          <w:szCs w:val="22"/>
          <w:lang w:eastAsia="en-US"/>
        </w:rPr>
        <w:t>eport</w:t>
      </w:r>
      <w:r w:rsidR="00F32585" w:rsidRPr="003B199C">
        <w:rPr>
          <w:rFonts w:ascii="Arial" w:eastAsia="Calibri" w:hAnsi="Arial" w:cs="Arial"/>
          <w:bCs/>
          <w:color w:val="auto"/>
          <w:sz w:val="22"/>
          <w:szCs w:val="22"/>
          <w:lang w:eastAsia="en-US"/>
        </w:rPr>
        <w:t>)</w:t>
      </w:r>
      <w:r w:rsidR="00120D89" w:rsidRPr="003B199C">
        <w:rPr>
          <w:rFonts w:ascii="Arial" w:eastAsia="Calibri" w:hAnsi="Arial" w:cs="Arial"/>
          <w:bCs/>
          <w:color w:val="auto"/>
          <w:sz w:val="22"/>
          <w:szCs w:val="22"/>
          <w:lang w:eastAsia="en-US"/>
        </w:rPr>
        <w:t xml:space="preserve">. </w:t>
      </w:r>
    </w:p>
    <w:p w14:paraId="778A7104" w14:textId="12704C8D" w:rsidR="00965D18" w:rsidRPr="003B199C" w:rsidRDefault="005169AD" w:rsidP="003B199C">
      <w:pPr>
        <w:numPr>
          <w:ilvl w:val="0"/>
          <w:numId w:val="1"/>
        </w:numPr>
        <w:tabs>
          <w:tab w:val="clear" w:pos="720"/>
          <w:tab w:val="num" w:pos="360"/>
        </w:tabs>
        <w:spacing w:before="240"/>
        <w:ind w:left="360" w:hanging="357"/>
        <w:jc w:val="both"/>
        <w:rPr>
          <w:rFonts w:ascii="Arial" w:eastAsia="Calibri" w:hAnsi="Arial" w:cs="Arial"/>
          <w:bCs/>
          <w:color w:val="auto"/>
          <w:sz w:val="22"/>
          <w:szCs w:val="22"/>
          <w:lang w:eastAsia="en-US"/>
        </w:rPr>
      </w:pPr>
      <w:r w:rsidRPr="003B199C">
        <w:rPr>
          <w:rFonts w:ascii="Arial" w:eastAsia="Calibri" w:hAnsi="Arial" w:cs="Arial"/>
          <w:bCs/>
          <w:color w:val="auto"/>
          <w:sz w:val="22"/>
          <w:szCs w:val="22"/>
          <w:lang w:eastAsia="en-US"/>
        </w:rPr>
        <w:t>Of the</w:t>
      </w:r>
      <w:r w:rsidR="00C23BB0" w:rsidRPr="003B199C">
        <w:rPr>
          <w:rFonts w:ascii="Arial" w:eastAsia="Calibri" w:hAnsi="Arial" w:cs="Arial"/>
          <w:bCs/>
          <w:color w:val="auto"/>
          <w:sz w:val="22"/>
          <w:szCs w:val="22"/>
          <w:lang w:eastAsia="en-US"/>
        </w:rPr>
        <w:t xml:space="preserve"> </w:t>
      </w:r>
      <w:r w:rsidR="00CB0BC1" w:rsidRPr="003B199C">
        <w:rPr>
          <w:rFonts w:ascii="Arial" w:eastAsia="Calibri" w:hAnsi="Arial" w:cs="Arial"/>
          <w:bCs/>
          <w:color w:val="auto"/>
          <w:sz w:val="22"/>
          <w:szCs w:val="22"/>
          <w:lang w:eastAsia="en-US"/>
        </w:rPr>
        <w:t xml:space="preserve">TAFV </w:t>
      </w:r>
      <w:r w:rsidR="00860811" w:rsidRPr="003B199C">
        <w:rPr>
          <w:rFonts w:ascii="Arial" w:eastAsia="Calibri" w:hAnsi="Arial" w:cs="Arial"/>
          <w:bCs/>
          <w:color w:val="auto"/>
          <w:sz w:val="22"/>
          <w:szCs w:val="22"/>
          <w:lang w:eastAsia="en-US"/>
        </w:rPr>
        <w:t xml:space="preserve">Policy </w:t>
      </w:r>
      <w:r w:rsidR="002B44E7" w:rsidRPr="003B199C">
        <w:rPr>
          <w:rFonts w:ascii="Arial" w:eastAsia="Calibri" w:hAnsi="Arial" w:cs="Arial"/>
          <w:bCs/>
          <w:color w:val="auto"/>
          <w:sz w:val="22"/>
          <w:szCs w:val="22"/>
          <w:lang w:eastAsia="en-US"/>
        </w:rPr>
        <w:t>evaluation report</w:t>
      </w:r>
      <w:r w:rsidRPr="003B199C">
        <w:rPr>
          <w:rFonts w:ascii="Arial" w:eastAsia="Calibri" w:hAnsi="Arial" w:cs="Arial"/>
          <w:bCs/>
          <w:color w:val="auto"/>
          <w:sz w:val="22"/>
          <w:szCs w:val="22"/>
          <w:lang w:eastAsia="en-US"/>
        </w:rPr>
        <w:t>’s 38 recommendations, the interim Government response</w:t>
      </w:r>
      <w:r w:rsidR="00AC645B" w:rsidRPr="003B199C">
        <w:rPr>
          <w:rFonts w:ascii="Arial" w:eastAsia="Calibri" w:hAnsi="Arial" w:cs="Arial"/>
          <w:bCs/>
          <w:color w:val="auto"/>
          <w:sz w:val="22"/>
          <w:szCs w:val="22"/>
          <w:lang w:eastAsia="en-US"/>
        </w:rPr>
        <w:t xml:space="preserve"> supported sev</w:t>
      </w:r>
      <w:r w:rsidR="00044573" w:rsidRPr="003B199C">
        <w:rPr>
          <w:rFonts w:ascii="Arial" w:eastAsia="Calibri" w:hAnsi="Arial" w:cs="Arial"/>
          <w:bCs/>
          <w:color w:val="auto"/>
          <w:sz w:val="22"/>
          <w:szCs w:val="22"/>
          <w:lang w:eastAsia="en-US"/>
        </w:rPr>
        <w:t>en recommendations in-principle and</w:t>
      </w:r>
      <w:r w:rsidR="00AC645B" w:rsidRPr="003B199C">
        <w:rPr>
          <w:rFonts w:ascii="Arial" w:eastAsia="Calibri" w:hAnsi="Arial" w:cs="Arial"/>
          <w:bCs/>
          <w:color w:val="auto"/>
          <w:sz w:val="22"/>
          <w:szCs w:val="22"/>
          <w:lang w:eastAsia="en-US"/>
        </w:rPr>
        <w:t xml:space="preserve"> accepted 21 recommendations for further consideration. Ten recommendations were not supported.</w:t>
      </w:r>
    </w:p>
    <w:p w14:paraId="740A655E" w14:textId="0CFCF51F" w:rsidR="00A53131" w:rsidRPr="003B199C" w:rsidRDefault="00965D18" w:rsidP="003B199C">
      <w:pPr>
        <w:numPr>
          <w:ilvl w:val="0"/>
          <w:numId w:val="1"/>
        </w:numPr>
        <w:tabs>
          <w:tab w:val="clear" w:pos="720"/>
          <w:tab w:val="num" w:pos="360"/>
        </w:tabs>
        <w:spacing w:before="240"/>
        <w:ind w:left="360" w:hanging="357"/>
        <w:jc w:val="both"/>
        <w:rPr>
          <w:rFonts w:ascii="Arial" w:eastAsia="Calibri" w:hAnsi="Arial" w:cs="Arial"/>
          <w:bCs/>
          <w:color w:val="auto"/>
          <w:sz w:val="22"/>
          <w:szCs w:val="22"/>
          <w:lang w:eastAsia="en-US"/>
        </w:rPr>
      </w:pPr>
      <w:r w:rsidRPr="003B199C">
        <w:rPr>
          <w:rFonts w:ascii="Arial" w:eastAsia="Calibri" w:hAnsi="Arial" w:cs="Arial"/>
          <w:bCs/>
          <w:color w:val="auto"/>
          <w:sz w:val="22"/>
          <w:szCs w:val="22"/>
          <w:lang w:eastAsia="en-US"/>
        </w:rPr>
        <w:t>After further consideration, the Government has identified alternative approaches for implementing TAFV Policy evaluation report recommendations that reduce unnecessary regulatory burden on liquor licensees in the hospitality and tourism industries and limit the resource burden for relevant Government agencies operating in a COVID-19 economic recovery environment.</w:t>
      </w:r>
    </w:p>
    <w:p w14:paraId="01D69849" w14:textId="4F8DFF31" w:rsidR="00803C0D" w:rsidRPr="003B199C" w:rsidRDefault="00965D18" w:rsidP="003B199C">
      <w:pPr>
        <w:numPr>
          <w:ilvl w:val="0"/>
          <w:numId w:val="1"/>
        </w:numPr>
        <w:tabs>
          <w:tab w:val="clear" w:pos="720"/>
          <w:tab w:val="num" w:pos="360"/>
        </w:tabs>
        <w:spacing w:before="240"/>
        <w:ind w:left="360" w:hanging="357"/>
        <w:jc w:val="both"/>
        <w:rPr>
          <w:rFonts w:ascii="Arial" w:eastAsia="Calibri" w:hAnsi="Arial" w:cs="Arial"/>
          <w:bCs/>
          <w:color w:val="auto"/>
          <w:sz w:val="22"/>
          <w:szCs w:val="22"/>
          <w:lang w:eastAsia="en-US"/>
        </w:rPr>
      </w:pPr>
      <w:bookmarkStart w:id="0" w:name="_Hlk105499936"/>
      <w:r w:rsidRPr="003B199C">
        <w:rPr>
          <w:rFonts w:ascii="Arial" w:eastAsia="Calibri" w:hAnsi="Arial" w:cs="Arial"/>
          <w:bCs/>
          <w:color w:val="auto"/>
          <w:sz w:val="22"/>
          <w:szCs w:val="22"/>
          <w:lang w:eastAsia="en-US"/>
        </w:rPr>
        <w:t>The final Government response</w:t>
      </w:r>
      <w:r w:rsidR="0040510F" w:rsidRPr="003B199C">
        <w:rPr>
          <w:rFonts w:ascii="Arial" w:eastAsia="Calibri" w:hAnsi="Arial" w:cs="Arial"/>
          <w:bCs/>
          <w:color w:val="auto"/>
          <w:sz w:val="22"/>
          <w:szCs w:val="22"/>
          <w:lang w:eastAsia="en-US"/>
        </w:rPr>
        <w:t xml:space="preserve"> to the</w:t>
      </w:r>
      <w:r w:rsidR="00ED40BA" w:rsidRPr="003B199C">
        <w:rPr>
          <w:rFonts w:ascii="Arial" w:eastAsia="Calibri" w:hAnsi="Arial" w:cs="Arial"/>
          <w:bCs/>
          <w:color w:val="auto"/>
          <w:sz w:val="22"/>
          <w:szCs w:val="22"/>
          <w:lang w:eastAsia="en-US"/>
        </w:rPr>
        <w:t xml:space="preserve"> TAFV </w:t>
      </w:r>
      <w:r w:rsidR="00860811" w:rsidRPr="003B199C">
        <w:rPr>
          <w:rFonts w:ascii="Arial" w:eastAsia="Calibri" w:hAnsi="Arial" w:cs="Arial"/>
          <w:bCs/>
          <w:color w:val="auto"/>
          <w:sz w:val="22"/>
          <w:szCs w:val="22"/>
          <w:lang w:eastAsia="en-US"/>
        </w:rPr>
        <w:t xml:space="preserve">Policy </w:t>
      </w:r>
      <w:r w:rsidR="00ED40BA" w:rsidRPr="003B199C">
        <w:rPr>
          <w:rFonts w:ascii="Arial" w:eastAsia="Calibri" w:hAnsi="Arial" w:cs="Arial"/>
          <w:bCs/>
          <w:color w:val="auto"/>
          <w:sz w:val="22"/>
          <w:szCs w:val="22"/>
          <w:lang w:eastAsia="en-US"/>
        </w:rPr>
        <w:t>evaluation report</w:t>
      </w:r>
      <w:r w:rsidR="00F32585" w:rsidRPr="003B199C">
        <w:rPr>
          <w:rFonts w:ascii="Arial" w:eastAsia="Calibri" w:hAnsi="Arial" w:cs="Arial"/>
          <w:bCs/>
          <w:color w:val="auto"/>
          <w:sz w:val="22"/>
          <w:szCs w:val="22"/>
          <w:lang w:eastAsia="en-US"/>
        </w:rPr>
        <w:t xml:space="preserve"> </w:t>
      </w:r>
      <w:r w:rsidRPr="003B199C">
        <w:rPr>
          <w:rFonts w:ascii="Arial" w:eastAsia="Calibri" w:hAnsi="Arial" w:cs="Arial"/>
          <w:bCs/>
          <w:color w:val="auto"/>
          <w:sz w:val="22"/>
          <w:szCs w:val="22"/>
          <w:lang w:eastAsia="en-US"/>
        </w:rPr>
        <w:t>supports</w:t>
      </w:r>
      <w:r w:rsidR="00A72F07" w:rsidRPr="003B199C">
        <w:rPr>
          <w:rFonts w:ascii="Arial" w:eastAsia="Calibri" w:hAnsi="Arial" w:cs="Arial"/>
          <w:bCs/>
          <w:color w:val="auto"/>
          <w:sz w:val="22"/>
          <w:szCs w:val="22"/>
          <w:lang w:eastAsia="en-US"/>
        </w:rPr>
        <w:t>, supports in-principle</w:t>
      </w:r>
      <w:r w:rsidRPr="003B199C">
        <w:rPr>
          <w:rFonts w:ascii="Arial" w:eastAsia="Calibri" w:hAnsi="Arial" w:cs="Arial"/>
          <w:bCs/>
          <w:color w:val="auto"/>
          <w:sz w:val="22"/>
          <w:szCs w:val="22"/>
          <w:lang w:eastAsia="en-US"/>
        </w:rPr>
        <w:t xml:space="preserve"> or partially supports</w:t>
      </w:r>
      <w:r w:rsidR="00823E28" w:rsidRPr="003B199C">
        <w:rPr>
          <w:rFonts w:ascii="Arial" w:eastAsia="Calibri" w:hAnsi="Arial" w:cs="Arial"/>
          <w:bCs/>
          <w:color w:val="auto"/>
          <w:sz w:val="22"/>
          <w:szCs w:val="22"/>
          <w:lang w:eastAsia="en-US"/>
        </w:rPr>
        <w:t xml:space="preserve"> 2</w:t>
      </w:r>
      <w:r w:rsidR="00DF2CC2" w:rsidRPr="003B199C">
        <w:rPr>
          <w:rFonts w:ascii="Arial" w:eastAsia="Calibri" w:hAnsi="Arial" w:cs="Arial"/>
          <w:bCs/>
          <w:color w:val="auto"/>
          <w:sz w:val="22"/>
          <w:szCs w:val="22"/>
          <w:lang w:eastAsia="en-US"/>
        </w:rPr>
        <w:t>2</w:t>
      </w:r>
      <w:r w:rsidR="00823E28" w:rsidRPr="003B199C">
        <w:rPr>
          <w:rFonts w:ascii="Arial" w:eastAsia="Calibri" w:hAnsi="Arial" w:cs="Arial"/>
          <w:bCs/>
          <w:color w:val="auto"/>
          <w:sz w:val="22"/>
          <w:szCs w:val="22"/>
          <w:lang w:eastAsia="en-US"/>
        </w:rPr>
        <w:t xml:space="preserve"> recommendations</w:t>
      </w:r>
      <w:r w:rsidRPr="003B199C">
        <w:rPr>
          <w:rFonts w:ascii="Arial" w:eastAsia="Calibri" w:hAnsi="Arial" w:cs="Arial"/>
          <w:bCs/>
          <w:color w:val="auto"/>
          <w:sz w:val="22"/>
          <w:szCs w:val="22"/>
          <w:lang w:eastAsia="en-US"/>
        </w:rPr>
        <w:t>; 1</w:t>
      </w:r>
      <w:r w:rsidR="00DF2CC2" w:rsidRPr="003B199C">
        <w:rPr>
          <w:rFonts w:ascii="Arial" w:eastAsia="Calibri" w:hAnsi="Arial" w:cs="Arial"/>
          <w:bCs/>
          <w:color w:val="auto"/>
          <w:sz w:val="22"/>
          <w:szCs w:val="22"/>
          <w:lang w:eastAsia="en-US"/>
        </w:rPr>
        <w:t>6</w:t>
      </w:r>
      <w:r w:rsidRPr="003B199C">
        <w:rPr>
          <w:rFonts w:ascii="Arial" w:eastAsia="Calibri" w:hAnsi="Arial" w:cs="Arial"/>
          <w:bCs/>
          <w:color w:val="auto"/>
          <w:sz w:val="22"/>
          <w:szCs w:val="22"/>
          <w:lang w:eastAsia="en-US"/>
        </w:rPr>
        <w:t xml:space="preserve"> </w:t>
      </w:r>
      <w:r w:rsidR="00F32585" w:rsidRPr="003B199C">
        <w:rPr>
          <w:rFonts w:ascii="Arial" w:eastAsia="Calibri" w:hAnsi="Arial" w:cs="Arial"/>
          <w:bCs/>
          <w:color w:val="auto"/>
          <w:sz w:val="22"/>
          <w:szCs w:val="22"/>
          <w:lang w:eastAsia="en-US"/>
        </w:rPr>
        <w:t>recommendations</w:t>
      </w:r>
      <w:r w:rsidRPr="003B199C">
        <w:rPr>
          <w:rFonts w:ascii="Arial" w:eastAsia="Calibri" w:hAnsi="Arial" w:cs="Arial"/>
          <w:bCs/>
          <w:color w:val="auto"/>
          <w:sz w:val="22"/>
          <w:szCs w:val="22"/>
          <w:lang w:eastAsia="en-US"/>
        </w:rPr>
        <w:t xml:space="preserve"> are not supported</w:t>
      </w:r>
      <w:r w:rsidR="00C0546C" w:rsidRPr="003B199C">
        <w:rPr>
          <w:rFonts w:ascii="Arial" w:eastAsia="Calibri" w:hAnsi="Arial" w:cs="Arial"/>
          <w:bCs/>
          <w:color w:val="auto"/>
          <w:sz w:val="22"/>
          <w:szCs w:val="22"/>
          <w:lang w:eastAsia="en-US"/>
        </w:rPr>
        <w:t xml:space="preserve"> </w:t>
      </w:r>
      <w:r w:rsidR="009D348A" w:rsidRPr="003B199C">
        <w:rPr>
          <w:rFonts w:ascii="Arial" w:hAnsi="Arial" w:cs="Arial"/>
          <w:sz w:val="22"/>
          <w:szCs w:val="22"/>
        </w:rPr>
        <w:t>as they are not considered critical to achieving overarching Government policy objectives, or can be achieved by more effective alternative means.</w:t>
      </w:r>
    </w:p>
    <w:bookmarkEnd w:id="0"/>
    <w:p w14:paraId="7A6D1567" w14:textId="281F04D2" w:rsidR="00AF2EF2" w:rsidRPr="003B199C" w:rsidRDefault="00AF2EF2" w:rsidP="003B199C">
      <w:pPr>
        <w:numPr>
          <w:ilvl w:val="0"/>
          <w:numId w:val="1"/>
        </w:numPr>
        <w:tabs>
          <w:tab w:val="clear" w:pos="720"/>
          <w:tab w:val="num" w:pos="360"/>
        </w:tabs>
        <w:spacing w:before="240"/>
        <w:ind w:left="360" w:hanging="357"/>
        <w:jc w:val="both"/>
        <w:rPr>
          <w:rFonts w:ascii="Arial" w:eastAsia="Calibri" w:hAnsi="Arial" w:cs="Arial"/>
          <w:bCs/>
          <w:color w:val="auto"/>
          <w:sz w:val="22"/>
          <w:szCs w:val="22"/>
          <w:lang w:eastAsia="en-US"/>
        </w:rPr>
      </w:pPr>
      <w:r w:rsidRPr="003B199C">
        <w:rPr>
          <w:rFonts w:ascii="Arial" w:eastAsia="Calibri" w:hAnsi="Arial" w:cs="Arial"/>
          <w:bCs/>
          <w:color w:val="auto"/>
          <w:sz w:val="22"/>
          <w:szCs w:val="22"/>
          <w:lang w:eastAsia="en-US"/>
        </w:rPr>
        <w:t>Since 2019, the Government has implemented strategies to give effect to supported or partially supported recommendations. Some implementation arrangements are administrative in nature</w:t>
      </w:r>
      <w:r w:rsidR="003B199C">
        <w:rPr>
          <w:rFonts w:ascii="Arial" w:eastAsia="Calibri" w:hAnsi="Arial" w:cs="Arial"/>
          <w:bCs/>
          <w:color w:val="auto"/>
          <w:sz w:val="22"/>
          <w:szCs w:val="22"/>
          <w:lang w:eastAsia="en-US"/>
        </w:rPr>
        <w:t>,</w:t>
      </w:r>
      <w:r w:rsidRPr="003B199C">
        <w:rPr>
          <w:rFonts w:ascii="Arial" w:eastAsia="Calibri" w:hAnsi="Arial" w:cs="Arial"/>
          <w:bCs/>
          <w:color w:val="auto"/>
          <w:sz w:val="22"/>
          <w:szCs w:val="22"/>
          <w:lang w:eastAsia="en-US"/>
        </w:rPr>
        <w:t xml:space="preserve"> while others have been implemented via legislative amendments to the </w:t>
      </w:r>
      <w:r w:rsidRPr="003B199C">
        <w:rPr>
          <w:rFonts w:ascii="Arial" w:eastAsia="Calibri" w:hAnsi="Arial" w:cs="Arial"/>
          <w:bCs/>
          <w:i/>
          <w:color w:val="auto"/>
          <w:sz w:val="22"/>
          <w:szCs w:val="22"/>
          <w:lang w:eastAsia="en-US"/>
        </w:rPr>
        <w:t>Liquor Act 1992</w:t>
      </w:r>
      <w:r w:rsidR="003B199C" w:rsidRPr="003B199C">
        <w:rPr>
          <w:rFonts w:ascii="Arial" w:eastAsia="Calibri" w:hAnsi="Arial" w:cs="Arial"/>
          <w:bCs/>
          <w:iCs/>
          <w:color w:val="auto"/>
          <w:sz w:val="22"/>
          <w:szCs w:val="22"/>
          <w:lang w:eastAsia="en-US"/>
        </w:rPr>
        <w:t>,</w:t>
      </w:r>
      <w:r w:rsidRPr="003B199C">
        <w:rPr>
          <w:rFonts w:ascii="Arial" w:eastAsia="Calibri" w:hAnsi="Arial" w:cs="Arial"/>
          <w:bCs/>
          <w:i/>
          <w:color w:val="auto"/>
          <w:sz w:val="22"/>
          <w:szCs w:val="22"/>
          <w:lang w:eastAsia="en-US"/>
        </w:rPr>
        <w:t xml:space="preserve"> Bail Act 1980</w:t>
      </w:r>
      <w:r w:rsidR="003B199C">
        <w:rPr>
          <w:rFonts w:ascii="Arial" w:eastAsia="Calibri" w:hAnsi="Arial" w:cs="Arial"/>
          <w:bCs/>
          <w:iCs/>
          <w:color w:val="auto"/>
          <w:sz w:val="22"/>
          <w:szCs w:val="22"/>
          <w:lang w:eastAsia="en-US"/>
        </w:rPr>
        <w:t>,</w:t>
      </w:r>
      <w:r w:rsidRPr="003B199C">
        <w:rPr>
          <w:rFonts w:ascii="Arial" w:eastAsia="Calibri" w:hAnsi="Arial" w:cs="Arial"/>
          <w:bCs/>
          <w:i/>
          <w:color w:val="auto"/>
          <w:sz w:val="22"/>
          <w:szCs w:val="22"/>
          <w:lang w:eastAsia="en-US"/>
        </w:rPr>
        <w:t xml:space="preserve"> Penalties and Sentences Act 1992 </w:t>
      </w:r>
      <w:r w:rsidRPr="003B199C">
        <w:rPr>
          <w:rFonts w:ascii="Arial" w:eastAsia="Calibri" w:hAnsi="Arial" w:cs="Arial"/>
          <w:bCs/>
          <w:color w:val="auto"/>
          <w:sz w:val="22"/>
          <w:szCs w:val="22"/>
          <w:lang w:eastAsia="en-US"/>
        </w:rPr>
        <w:t xml:space="preserve">and the </w:t>
      </w:r>
      <w:r w:rsidRPr="003B199C">
        <w:rPr>
          <w:rFonts w:ascii="Arial" w:eastAsia="Calibri" w:hAnsi="Arial" w:cs="Arial"/>
          <w:bCs/>
          <w:i/>
          <w:color w:val="auto"/>
          <w:sz w:val="22"/>
          <w:szCs w:val="22"/>
          <w:lang w:eastAsia="en-US"/>
        </w:rPr>
        <w:t>Police Powers and Responsibilities Act 2000.</w:t>
      </w:r>
    </w:p>
    <w:p w14:paraId="2020EF10" w14:textId="25AAC8B2" w:rsidR="006668B7" w:rsidRPr="003B199C" w:rsidRDefault="00676AA6" w:rsidP="003B199C">
      <w:pPr>
        <w:numPr>
          <w:ilvl w:val="0"/>
          <w:numId w:val="1"/>
        </w:numPr>
        <w:tabs>
          <w:tab w:val="clear" w:pos="720"/>
          <w:tab w:val="num" w:pos="360"/>
        </w:tabs>
        <w:spacing w:before="240"/>
        <w:ind w:left="360" w:hanging="357"/>
        <w:jc w:val="both"/>
        <w:rPr>
          <w:rFonts w:ascii="Arial" w:eastAsia="Calibri" w:hAnsi="Arial" w:cs="Arial"/>
          <w:bCs/>
          <w:color w:val="auto"/>
          <w:sz w:val="22"/>
          <w:szCs w:val="22"/>
          <w:lang w:eastAsia="en-US"/>
        </w:rPr>
      </w:pPr>
      <w:r w:rsidRPr="003B199C">
        <w:rPr>
          <w:rFonts w:ascii="Arial" w:eastAsia="Calibri" w:hAnsi="Arial" w:cs="Arial"/>
          <w:bCs/>
          <w:color w:val="auto"/>
          <w:sz w:val="22"/>
          <w:szCs w:val="22"/>
          <w:lang w:eastAsia="en-US"/>
        </w:rPr>
        <w:t>The final Government response strike</w:t>
      </w:r>
      <w:r w:rsidR="00F23D31" w:rsidRPr="003B199C">
        <w:rPr>
          <w:rFonts w:ascii="Arial" w:eastAsia="Calibri" w:hAnsi="Arial" w:cs="Arial"/>
          <w:bCs/>
          <w:color w:val="auto"/>
          <w:sz w:val="22"/>
          <w:szCs w:val="22"/>
          <w:lang w:eastAsia="en-US"/>
        </w:rPr>
        <w:t>s</w:t>
      </w:r>
      <w:r w:rsidRPr="003B199C">
        <w:rPr>
          <w:rFonts w:ascii="Arial" w:eastAsia="Calibri" w:hAnsi="Arial" w:cs="Arial"/>
          <w:bCs/>
          <w:color w:val="auto"/>
          <w:sz w:val="22"/>
          <w:szCs w:val="22"/>
          <w:lang w:eastAsia="en-US"/>
        </w:rPr>
        <w:t xml:space="preserve"> a balance between </w:t>
      </w:r>
      <w:r w:rsidR="00D27C67" w:rsidRPr="003B199C">
        <w:rPr>
          <w:rFonts w:ascii="Arial" w:eastAsia="Calibri" w:hAnsi="Arial" w:cs="Arial"/>
          <w:bCs/>
          <w:color w:val="auto"/>
          <w:sz w:val="22"/>
          <w:szCs w:val="22"/>
          <w:lang w:eastAsia="en-US"/>
        </w:rPr>
        <w:t xml:space="preserve">alcohol-related </w:t>
      </w:r>
      <w:r w:rsidRPr="003B199C">
        <w:rPr>
          <w:rFonts w:ascii="Arial" w:eastAsia="Calibri" w:hAnsi="Arial" w:cs="Arial"/>
          <w:bCs/>
          <w:color w:val="auto"/>
          <w:sz w:val="22"/>
          <w:szCs w:val="22"/>
          <w:lang w:eastAsia="en-US"/>
        </w:rPr>
        <w:t>harm mi</w:t>
      </w:r>
      <w:r w:rsidR="00302E53" w:rsidRPr="003B199C">
        <w:rPr>
          <w:rFonts w:ascii="Arial" w:eastAsia="Calibri" w:hAnsi="Arial" w:cs="Arial"/>
          <w:bCs/>
          <w:color w:val="auto"/>
          <w:sz w:val="22"/>
          <w:szCs w:val="22"/>
          <w:lang w:eastAsia="en-US"/>
        </w:rPr>
        <w:t xml:space="preserve">nimisation and the need to reduce the regulatory burden and fiscal constraints on </w:t>
      </w:r>
      <w:r w:rsidR="00D27C67" w:rsidRPr="003B199C">
        <w:rPr>
          <w:rFonts w:ascii="Arial" w:eastAsia="Calibri" w:hAnsi="Arial" w:cs="Arial"/>
          <w:bCs/>
          <w:color w:val="auto"/>
          <w:sz w:val="22"/>
          <w:szCs w:val="22"/>
          <w:lang w:eastAsia="en-US"/>
        </w:rPr>
        <w:t xml:space="preserve">hospitality and tourism </w:t>
      </w:r>
      <w:r w:rsidR="00302E53" w:rsidRPr="003B199C">
        <w:rPr>
          <w:rFonts w:ascii="Arial" w:eastAsia="Calibri" w:hAnsi="Arial" w:cs="Arial"/>
          <w:bCs/>
          <w:color w:val="auto"/>
          <w:sz w:val="22"/>
          <w:szCs w:val="22"/>
          <w:lang w:eastAsia="en-US"/>
        </w:rPr>
        <w:t>business</w:t>
      </w:r>
      <w:r w:rsidR="00D27C67" w:rsidRPr="003B199C">
        <w:rPr>
          <w:rFonts w:ascii="Arial" w:eastAsia="Calibri" w:hAnsi="Arial" w:cs="Arial"/>
          <w:bCs/>
          <w:color w:val="auto"/>
          <w:sz w:val="22"/>
          <w:szCs w:val="22"/>
          <w:lang w:eastAsia="en-US"/>
        </w:rPr>
        <w:t xml:space="preserve">es </w:t>
      </w:r>
      <w:r w:rsidR="00302E53" w:rsidRPr="003B199C">
        <w:rPr>
          <w:rFonts w:ascii="Arial" w:eastAsia="Calibri" w:hAnsi="Arial" w:cs="Arial"/>
          <w:bCs/>
          <w:color w:val="auto"/>
          <w:sz w:val="22"/>
          <w:szCs w:val="22"/>
          <w:lang w:eastAsia="en-US"/>
        </w:rPr>
        <w:t xml:space="preserve">in the COVID-19 economic recovery environment. </w:t>
      </w:r>
    </w:p>
    <w:p w14:paraId="553D290A" w14:textId="388C0D26" w:rsidR="00A14A3D" w:rsidRPr="003B199C" w:rsidRDefault="00E14B29" w:rsidP="003B199C">
      <w:pPr>
        <w:numPr>
          <w:ilvl w:val="0"/>
          <w:numId w:val="1"/>
        </w:numPr>
        <w:tabs>
          <w:tab w:val="clear" w:pos="720"/>
          <w:tab w:val="num" w:pos="360"/>
        </w:tabs>
        <w:spacing w:before="240"/>
        <w:ind w:left="360" w:hanging="357"/>
        <w:jc w:val="both"/>
        <w:rPr>
          <w:rFonts w:ascii="Arial" w:eastAsia="Calibri" w:hAnsi="Arial" w:cs="Arial"/>
          <w:bCs/>
          <w:color w:val="auto"/>
          <w:sz w:val="22"/>
          <w:szCs w:val="22"/>
          <w:lang w:eastAsia="en-US"/>
        </w:rPr>
      </w:pPr>
      <w:r w:rsidRPr="003B199C">
        <w:rPr>
          <w:rFonts w:ascii="Arial" w:eastAsia="Calibri" w:hAnsi="Arial" w:cs="Arial"/>
          <w:bCs/>
          <w:color w:val="auto"/>
          <w:sz w:val="22"/>
          <w:szCs w:val="22"/>
          <w:u w:val="single"/>
          <w:lang w:eastAsia="en-US"/>
        </w:rPr>
        <w:t xml:space="preserve">Cabinet </w:t>
      </w:r>
      <w:r w:rsidR="005B2D2A" w:rsidRPr="003B199C">
        <w:rPr>
          <w:rFonts w:ascii="Arial" w:eastAsia="Calibri" w:hAnsi="Arial" w:cs="Arial"/>
          <w:bCs/>
          <w:color w:val="auto"/>
          <w:sz w:val="22"/>
          <w:szCs w:val="22"/>
          <w:u w:val="single"/>
          <w:lang w:eastAsia="en-US"/>
        </w:rPr>
        <w:t>approved</w:t>
      </w:r>
      <w:r w:rsidR="00A14A3D" w:rsidRPr="003B199C">
        <w:rPr>
          <w:rFonts w:ascii="Arial" w:eastAsia="Calibri" w:hAnsi="Arial" w:cs="Arial"/>
          <w:bCs/>
          <w:color w:val="auto"/>
          <w:sz w:val="22"/>
          <w:szCs w:val="22"/>
          <w:lang w:eastAsia="en-US"/>
        </w:rPr>
        <w:t xml:space="preserve"> the final Government response</w:t>
      </w:r>
      <w:r w:rsidR="00767105" w:rsidRPr="003B199C">
        <w:rPr>
          <w:rFonts w:ascii="Arial" w:eastAsia="Calibri" w:hAnsi="Arial" w:cs="Arial"/>
          <w:bCs/>
          <w:color w:val="auto"/>
          <w:sz w:val="22"/>
          <w:szCs w:val="22"/>
          <w:lang w:eastAsia="en-US"/>
        </w:rPr>
        <w:t xml:space="preserve"> to the T</w:t>
      </w:r>
      <w:r w:rsidR="005B2D2A" w:rsidRPr="003B199C">
        <w:rPr>
          <w:rFonts w:ascii="Arial" w:eastAsia="Calibri" w:hAnsi="Arial" w:cs="Arial"/>
          <w:bCs/>
          <w:color w:val="auto"/>
          <w:sz w:val="22"/>
          <w:szCs w:val="22"/>
          <w:lang w:eastAsia="en-US"/>
        </w:rPr>
        <w:t xml:space="preserve">ackling-Alcohol Fuelled Violence Policy </w:t>
      </w:r>
      <w:r w:rsidR="00767C23" w:rsidRPr="003B199C">
        <w:rPr>
          <w:rFonts w:ascii="Arial" w:eastAsia="Calibri" w:hAnsi="Arial" w:cs="Arial"/>
          <w:bCs/>
          <w:color w:val="auto"/>
          <w:sz w:val="22"/>
          <w:szCs w:val="22"/>
          <w:lang w:eastAsia="en-US"/>
        </w:rPr>
        <w:t xml:space="preserve">(TAFV Policy) </w:t>
      </w:r>
      <w:r w:rsidR="005B2D2A" w:rsidRPr="003B199C">
        <w:rPr>
          <w:rFonts w:ascii="Arial" w:eastAsia="Calibri" w:hAnsi="Arial" w:cs="Arial"/>
          <w:bCs/>
          <w:color w:val="auto"/>
          <w:sz w:val="22"/>
          <w:szCs w:val="22"/>
          <w:lang w:eastAsia="en-US"/>
        </w:rPr>
        <w:t>evaluation report.</w:t>
      </w:r>
    </w:p>
    <w:p w14:paraId="4448422D" w14:textId="30FB319B" w:rsidR="0061624E" w:rsidRPr="003B199C" w:rsidRDefault="00E14B29" w:rsidP="003B199C">
      <w:pPr>
        <w:numPr>
          <w:ilvl w:val="0"/>
          <w:numId w:val="1"/>
        </w:numPr>
        <w:tabs>
          <w:tab w:val="clear" w:pos="720"/>
          <w:tab w:val="num" w:pos="360"/>
        </w:tabs>
        <w:spacing w:before="240"/>
        <w:ind w:left="360" w:hanging="357"/>
        <w:jc w:val="both"/>
        <w:rPr>
          <w:rFonts w:ascii="Arial" w:eastAsia="Calibri" w:hAnsi="Arial" w:cs="Arial"/>
          <w:bCs/>
          <w:color w:val="auto"/>
          <w:sz w:val="22"/>
          <w:szCs w:val="22"/>
          <w:lang w:eastAsia="en-US"/>
        </w:rPr>
      </w:pPr>
      <w:r w:rsidRPr="003B199C">
        <w:rPr>
          <w:rFonts w:ascii="Arial" w:eastAsia="Calibri" w:hAnsi="Arial" w:cs="Arial"/>
          <w:bCs/>
          <w:color w:val="auto"/>
          <w:sz w:val="22"/>
          <w:szCs w:val="22"/>
          <w:u w:val="single"/>
          <w:lang w:eastAsia="en-US"/>
        </w:rPr>
        <w:t xml:space="preserve">Cabinet </w:t>
      </w:r>
      <w:r w:rsidR="00803C0D" w:rsidRPr="003B199C">
        <w:rPr>
          <w:rFonts w:ascii="Arial" w:eastAsia="Calibri" w:hAnsi="Arial" w:cs="Arial"/>
          <w:bCs/>
          <w:color w:val="auto"/>
          <w:sz w:val="22"/>
          <w:szCs w:val="22"/>
          <w:u w:val="single"/>
          <w:lang w:eastAsia="en-US"/>
        </w:rPr>
        <w:t>approved</w:t>
      </w:r>
      <w:r w:rsidR="00803C0D" w:rsidRPr="003B199C">
        <w:rPr>
          <w:rFonts w:ascii="Arial" w:eastAsia="Calibri" w:hAnsi="Arial" w:cs="Arial"/>
          <w:bCs/>
          <w:color w:val="auto"/>
          <w:sz w:val="22"/>
          <w:szCs w:val="22"/>
          <w:lang w:eastAsia="en-US"/>
        </w:rPr>
        <w:t xml:space="preserve"> the public release and tabling in Parliament of the </w:t>
      </w:r>
      <w:r w:rsidR="003E0C88" w:rsidRPr="003B199C">
        <w:rPr>
          <w:rFonts w:ascii="Arial" w:eastAsia="Calibri" w:hAnsi="Arial" w:cs="Arial"/>
          <w:bCs/>
          <w:color w:val="auto"/>
          <w:sz w:val="22"/>
          <w:szCs w:val="22"/>
          <w:lang w:eastAsia="en-US"/>
        </w:rPr>
        <w:t>final Government response</w:t>
      </w:r>
      <w:r w:rsidR="00767105" w:rsidRPr="003B199C">
        <w:rPr>
          <w:rFonts w:ascii="Arial" w:eastAsia="Calibri" w:hAnsi="Arial" w:cs="Arial"/>
          <w:bCs/>
          <w:color w:val="auto"/>
          <w:sz w:val="22"/>
          <w:szCs w:val="22"/>
          <w:lang w:eastAsia="en-US"/>
        </w:rPr>
        <w:t xml:space="preserve"> to the TAFV </w:t>
      </w:r>
      <w:r w:rsidR="00860811" w:rsidRPr="003B199C">
        <w:rPr>
          <w:rFonts w:ascii="Arial" w:eastAsia="Calibri" w:hAnsi="Arial" w:cs="Arial"/>
          <w:bCs/>
          <w:color w:val="auto"/>
          <w:sz w:val="22"/>
          <w:szCs w:val="22"/>
          <w:lang w:eastAsia="en-US"/>
        </w:rPr>
        <w:t xml:space="preserve">Policy </w:t>
      </w:r>
      <w:r w:rsidR="00767105" w:rsidRPr="003B199C">
        <w:rPr>
          <w:rFonts w:ascii="Arial" w:eastAsia="Calibri" w:hAnsi="Arial" w:cs="Arial"/>
          <w:bCs/>
          <w:color w:val="auto"/>
          <w:sz w:val="22"/>
          <w:szCs w:val="22"/>
          <w:lang w:eastAsia="en-US"/>
        </w:rPr>
        <w:t>evaluation report</w:t>
      </w:r>
      <w:r w:rsidR="0071177B" w:rsidRPr="003B199C">
        <w:rPr>
          <w:rFonts w:ascii="Arial" w:eastAsia="Calibri" w:hAnsi="Arial" w:cs="Arial"/>
          <w:bCs/>
          <w:color w:val="auto"/>
          <w:sz w:val="22"/>
          <w:szCs w:val="22"/>
          <w:lang w:eastAsia="en-US"/>
        </w:rPr>
        <w:t>.</w:t>
      </w:r>
    </w:p>
    <w:p w14:paraId="1AA0E692" w14:textId="021659D4" w:rsidR="008A027D" w:rsidRPr="003B199C" w:rsidRDefault="00FE040C" w:rsidP="003B199C">
      <w:pPr>
        <w:numPr>
          <w:ilvl w:val="0"/>
          <w:numId w:val="1"/>
        </w:numPr>
        <w:spacing w:before="360"/>
        <w:ind w:left="363" w:hanging="357"/>
        <w:jc w:val="both"/>
        <w:rPr>
          <w:rFonts w:ascii="Arial" w:eastAsia="Calibri" w:hAnsi="Arial" w:cs="Arial"/>
          <w:bCs/>
          <w:color w:val="auto"/>
          <w:sz w:val="22"/>
          <w:szCs w:val="22"/>
          <w:u w:val="single"/>
          <w:lang w:eastAsia="en-US"/>
        </w:rPr>
      </w:pPr>
      <w:r w:rsidRPr="003B199C">
        <w:rPr>
          <w:rFonts w:ascii="Arial" w:eastAsia="Calibri" w:hAnsi="Arial" w:cs="Arial"/>
          <w:bCs/>
          <w:i/>
          <w:iCs/>
          <w:color w:val="auto"/>
          <w:sz w:val="22"/>
          <w:szCs w:val="22"/>
          <w:u w:val="single"/>
          <w:lang w:eastAsia="en-US"/>
        </w:rPr>
        <w:t>Attachments</w:t>
      </w:r>
    </w:p>
    <w:p w14:paraId="12D414CE" w14:textId="38EA8493" w:rsidR="008E3B54" w:rsidRPr="003B199C" w:rsidRDefault="00CF579F" w:rsidP="003B199C">
      <w:pPr>
        <w:pStyle w:val="ListParagraph"/>
        <w:numPr>
          <w:ilvl w:val="0"/>
          <w:numId w:val="10"/>
        </w:numPr>
        <w:spacing w:before="120"/>
        <w:ind w:hanging="357"/>
        <w:contextualSpacing w:val="0"/>
        <w:jc w:val="both"/>
        <w:rPr>
          <w:rFonts w:ascii="Arial" w:eastAsia="Calibri" w:hAnsi="Arial" w:cs="Arial"/>
          <w:bCs/>
          <w:color w:val="auto"/>
          <w:sz w:val="22"/>
          <w:szCs w:val="22"/>
          <w:lang w:eastAsia="en-US"/>
        </w:rPr>
      </w:pPr>
      <w:hyperlink r:id="rId10" w:history="1">
        <w:r w:rsidR="00FF4F3A" w:rsidRPr="0061687A">
          <w:rPr>
            <w:rStyle w:val="Hyperlink"/>
            <w:rFonts w:ascii="Arial" w:eastAsia="Calibri" w:hAnsi="Arial" w:cs="Arial"/>
            <w:bCs/>
            <w:sz w:val="22"/>
            <w:szCs w:val="22"/>
            <w:lang w:eastAsia="en-US"/>
          </w:rPr>
          <w:t xml:space="preserve">Final </w:t>
        </w:r>
        <w:r w:rsidR="003E0C88" w:rsidRPr="0061687A">
          <w:rPr>
            <w:rStyle w:val="Hyperlink"/>
            <w:rFonts w:ascii="Arial" w:eastAsia="Calibri" w:hAnsi="Arial" w:cs="Arial"/>
            <w:bCs/>
            <w:sz w:val="22"/>
            <w:szCs w:val="22"/>
            <w:lang w:eastAsia="en-US"/>
          </w:rPr>
          <w:t>Government response</w:t>
        </w:r>
        <w:r w:rsidR="00554ED7" w:rsidRPr="0061687A">
          <w:rPr>
            <w:rStyle w:val="Hyperlink"/>
            <w:rFonts w:ascii="Arial" w:eastAsia="Calibri" w:hAnsi="Arial" w:cs="Arial"/>
            <w:bCs/>
            <w:sz w:val="22"/>
            <w:szCs w:val="22"/>
            <w:lang w:eastAsia="en-US"/>
          </w:rPr>
          <w:t xml:space="preserve"> to the </w:t>
        </w:r>
        <w:r w:rsidR="00767C23" w:rsidRPr="0061687A">
          <w:rPr>
            <w:rStyle w:val="Hyperlink"/>
            <w:rFonts w:ascii="Arial" w:eastAsia="Calibri" w:hAnsi="Arial" w:cs="Arial"/>
            <w:bCs/>
            <w:sz w:val="22"/>
            <w:szCs w:val="22"/>
            <w:lang w:eastAsia="en-US"/>
          </w:rPr>
          <w:t xml:space="preserve">Tackling-Alcohol Fuelled Violence Policy </w:t>
        </w:r>
        <w:r w:rsidR="00554ED7" w:rsidRPr="0061687A">
          <w:rPr>
            <w:rStyle w:val="Hyperlink"/>
            <w:rFonts w:ascii="Arial" w:eastAsia="Calibri" w:hAnsi="Arial" w:cs="Arial"/>
            <w:bCs/>
            <w:sz w:val="22"/>
            <w:szCs w:val="22"/>
            <w:lang w:eastAsia="en-US"/>
          </w:rPr>
          <w:t>evaluation report</w:t>
        </w:r>
      </w:hyperlink>
    </w:p>
    <w:p w14:paraId="6415DBC5" w14:textId="77777777" w:rsidR="00AC645B" w:rsidRDefault="00AC645B" w:rsidP="00F74E71">
      <w:pPr>
        <w:jc w:val="both"/>
        <w:rPr>
          <w:rFonts w:ascii="Arial" w:eastAsia="Calibri" w:hAnsi="Arial"/>
          <w:bCs/>
          <w:color w:val="auto"/>
          <w:sz w:val="22"/>
          <w:szCs w:val="22"/>
          <w:lang w:eastAsia="en-US"/>
        </w:rPr>
      </w:pPr>
    </w:p>
    <w:p w14:paraId="64CB4B67" w14:textId="77777777" w:rsidR="006742CB" w:rsidRDefault="006742CB" w:rsidP="00F74E71">
      <w:pPr>
        <w:jc w:val="both"/>
      </w:pPr>
    </w:p>
    <w:sectPr w:rsidR="006742CB" w:rsidSect="005B2D2A">
      <w:headerReference w:type="default" r:id="rId1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F6096" w14:textId="77777777" w:rsidR="00522601" w:rsidRDefault="00522601" w:rsidP="00120D89">
      <w:r>
        <w:separator/>
      </w:r>
    </w:p>
  </w:endnote>
  <w:endnote w:type="continuationSeparator" w:id="0">
    <w:p w14:paraId="4163D82B" w14:textId="77777777" w:rsidR="00522601" w:rsidRDefault="00522601" w:rsidP="00120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44151" w14:textId="77777777" w:rsidR="00522601" w:rsidRDefault="00522601" w:rsidP="00120D89">
      <w:r>
        <w:separator/>
      </w:r>
    </w:p>
  </w:footnote>
  <w:footnote w:type="continuationSeparator" w:id="0">
    <w:p w14:paraId="260A1EE9" w14:textId="77777777" w:rsidR="00522601" w:rsidRDefault="00522601" w:rsidP="00120D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BEEC8" w14:textId="77777777" w:rsidR="005B2D2A" w:rsidRPr="00937A4A" w:rsidRDefault="005B2D2A" w:rsidP="005B2D2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13142BCD" w14:textId="77777777" w:rsidR="005B2D2A" w:rsidRPr="00937A4A" w:rsidRDefault="005B2D2A" w:rsidP="005B2D2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07E11359" w14:textId="47238433" w:rsidR="005B2D2A" w:rsidRPr="00937A4A" w:rsidRDefault="005B2D2A" w:rsidP="005B2D2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Pr>
        <w:rFonts w:ascii="Arial" w:hAnsi="Arial" w:cs="Arial"/>
        <w:b/>
        <w:color w:val="auto"/>
        <w:sz w:val="22"/>
        <w:szCs w:val="22"/>
        <w:lang w:eastAsia="en-US"/>
      </w:rPr>
      <w:t>April 2022</w:t>
    </w:r>
  </w:p>
  <w:p w14:paraId="60AFE677" w14:textId="0B0C52B6" w:rsidR="005B2D2A" w:rsidRPr="005B2D2A" w:rsidRDefault="005B2D2A" w:rsidP="003B199C">
    <w:pPr>
      <w:pStyle w:val="Header"/>
      <w:spacing w:before="120"/>
      <w:jc w:val="both"/>
      <w:rPr>
        <w:rFonts w:ascii="Arial" w:hAnsi="Arial" w:cs="Arial"/>
        <w:b/>
        <w:sz w:val="22"/>
        <w:szCs w:val="22"/>
        <w:u w:val="single"/>
      </w:rPr>
    </w:pPr>
    <w:r w:rsidRPr="005B2D2A">
      <w:rPr>
        <w:rFonts w:ascii="Arial" w:hAnsi="Arial" w:cs="Arial"/>
        <w:b/>
        <w:sz w:val="22"/>
        <w:szCs w:val="22"/>
        <w:u w:val="single"/>
      </w:rPr>
      <w:t>Final Government response to the Tackling Alcohol-Fuelled Violence Policy evaluation report</w:t>
    </w:r>
  </w:p>
  <w:p w14:paraId="2ACBDFFD" w14:textId="77777777" w:rsidR="005B2D2A" w:rsidRPr="005B2D2A" w:rsidRDefault="005B2D2A" w:rsidP="003B199C">
    <w:pPr>
      <w:pStyle w:val="Header"/>
      <w:spacing w:before="120"/>
      <w:jc w:val="both"/>
      <w:rPr>
        <w:rFonts w:ascii="Arial" w:hAnsi="Arial" w:cs="Arial"/>
        <w:b/>
        <w:sz w:val="22"/>
        <w:szCs w:val="22"/>
        <w:u w:val="single"/>
      </w:rPr>
    </w:pPr>
    <w:r w:rsidRPr="005B2D2A">
      <w:rPr>
        <w:rFonts w:ascii="Arial" w:hAnsi="Arial" w:cs="Arial"/>
        <w:b/>
        <w:sz w:val="22"/>
        <w:szCs w:val="22"/>
        <w:u w:val="single"/>
      </w:rPr>
      <w:t>Attorney-General and Minister for Justice, Minister for Women and Minister for the Prevention of Domestic and Family Violence</w:t>
    </w:r>
  </w:p>
  <w:p w14:paraId="678401E1" w14:textId="2B69314D" w:rsidR="000945CB" w:rsidRPr="005B2D2A" w:rsidRDefault="000945CB" w:rsidP="003B199C">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47441"/>
    <w:multiLevelType w:val="hybridMultilevel"/>
    <w:tmpl w:val="4F6C492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5F83B5D"/>
    <w:multiLevelType w:val="hybridMultilevel"/>
    <w:tmpl w:val="3654C114"/>
    <w:lvl w:ilvl="0" w:tplc="34ECC36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807CCD"/>
    <w:multiLevelType w:val="hybridMultilevel"/>
    <w:tmpl w:val="98EAE556"/>
    <w:lvl w:ilvl="0" w:tplc="0C090017">
      <w:start w:val="1"/>
      <w:numFmt w:val="lowerLetter"/>
      <w:lvlText w:val="%1)"/>
      <w:lvlJc w:val="left"/>
      <w:pPr>
        <w:ind w:left="720" w:hanging="360"/>
      </w:pPr>
      <w:rPr>
        <w:rFonts w:hint="default"/>
        <w:b w:val="0"/>
      </w:rPr>
    </w:lvl>
    <w:lvl w:ilvl="1" w:tplc="0C090001">
      <w:start w:val="1"/>
      <w:numFmt w:val="bullet"/>
      <w:lvlText w:val=""/>
      <w:lvlJc w:val="left"/>
      <w:pPr>
        <w:ind w:left="1087" w:hanging="360"/>
      </w:pPr>
      <w:rPr>
        <w:rFonts w:ascii="Symbol" w:hAnsi="Symbol" w:hint="default"/>
      </w:rPr>
    </w:lvl>
    <w:lvl w:ilvl="2" w:tplc="0C09001B">
      <w:start w:val="1"/>
      <w:numFmt w:val="lowerRoman"/>
      <w:lvlText w:val="%3."/>
      <w:lvlJc w:val="right"/>
      <w:pPr>
        <w:ind w:left="1807" w:hanging="180"/>
      </w:pPr>
    </w:lvl>
    <w:lvl w:ilvl="3" w:tplc="0C09000F" w:tentative="1">
      <w:start w:val="1"/>
      <w:numFmt w:val="decimal"/>
      <w:lvlText w:val="%4."/>
      <w:lvlJc w:val="left"/>
      <w:pPr>
        <w:ind w:left="2527" w:hanging="360"/>
      </w:pPr>
    </w:lvl>
    <w:lvl w:ilvl="4" w:tplc="0C090019" w:tentative="1">
      <w:start w:val="1"/>
      <w:numFmt w:val="lowerLetter"/>
      <w:lvlText w:val="%5."/>
      <w:lvlJc w:val="left"/>
      <w:pPr>
        <w:ind w:left="3247" w:hanging="360"/>
      </w:pPr>
    </w:lvl>
    <w:lvl w:ilvl="5" w:tplc="0C09001B" w:tentative="1">
      <w:start w:val="1"/>
      <w:numFmt w:val="lowerRoman"/>
      <w:lvlText w:val="%6."/>
      <w:lvlJc w:val="right"/>
      <w:pPr>
        <w:ind w:left="3967" w:hanging="180"/>
      </w:pPr>
    </w:lvl>
    <w:lvl w:ilvl="6" w:tplc="0C09000F" w:tentative="1">
      <w:start w:val="1"/>
      <w:numFmt w:val="decimal"/>
      <w:lvlText w:val="%7."/>
      <w:lvlJc w:val="left"/>
      <w:pPr>
        <w:ind w:left="4687" w:hanging="360"/>
      </w:pPr>
    </w:lvl>
    <w:lvl w:ilvl="7" w:tplc="0C090019" w:tentative="1">
      <w:start w:val="1"/>
      <w:numFmt w:val="lowerLetter"/>
      <w:lvlText w:val="%8."/>
      <w:lvlJc w:val="left"/>
      <w:pPr>
        <w:ind w:left="5407" w:hanging="360"/>
      </w:pPr>
    </w:lvl>
    <w:lvl w:ilvl="8" w:tplc="0C09001B" w:tentative="1">
      <w:start w:val="1"/>
      <w:numFmt w:val="lowerRoman"/>
      <w:lvlText w:val="%9."/>
      <w:lvlJc w:val="right"/>
      <w:pPr>
        <w:ind w:left="6127" w:hanging="180"/>
      </w:pPr>
    </w:lvl>
  </w:abstractNum>
  <w:abstractNum w:abstractNumId="3" w15:restartNumberingAfterBreak="0">
    <w:nsid w:val="29E628AA"/>
    <w:multiLevelType w:val="hybridMultilevel"/>
    <w:tmpl w:val="60144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04338AA"/>
    <w:multiLevelType w:val="hybridMultilevel"/>
    <w:tmpl w:val="06DA47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87E67F4"/>
    <w:multiLevelType w:val="hybridMultilevel"/>
    <w:tmpl w:val="6C00D26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DFB7799"/>
    <w:multiLevelType w:val="hybridMultilevel"/>
    <w:tmpl w:val="84982486"/>
    <w:lvl w:ilvl="0" w:tplc="916E9E4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F960BFF"/>
    <w:multiLevelType w:val="hybridMultilevel"/>
    <w:tmpl w:val="DAA0E7F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6A690863"/>
    <w:multiLevelType w:val="hybridMultilevel"/>
    <w:tmpl w:val="E38E7AE2"/>
    <w:lvl w:ilvl="0" w:tplc="0C090017">
      <w:start w:val="1"/>
      <w:numFmt w:val="lowerLetter"/>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6A836BC8"/>
    <w:multiLevelType w:val="hybridMultilevel"/>
    <w:tmpl w:val="C62E809E"/>
    <w:lvl w:ilvl="0" w:tplc="B3E4E7BE">
      <w:start w:val="1"/>
      <w:numFmt w:val="decimal"/>
      <w:lvlText w:val="%1."/>
      <w:lvlJc w:val="left"/>
      <w:pPr>
        <w:ind w:left="360" w:hanging="360"/>
      </w:pPr>
      <w:rPr>
        <w:rFonts w:hint="default"/>
        <w:b w:val="0"/>
        <w:bCs w:val="0"/>
        <w:i w:val="0"/>
        <w:i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7C203D92"/>
    <w:multiLevelType w:val="hybridMultilevel"/>
    <w:tmpl w:val="9768F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1993632634">
    <w:abstractNumId w:val="11"/>
  </w:num>
  <w:num w:numId="2" w16cid:durableId="310183078">
    <w:abstractNumId w:val="7"/>
  </w:num>
  <w:num w:numId="3" w16cid:durableId="2091584969">
    <w:abstractNumId w:val="8"/>
  </w:num>
  <w:num w:numId="4" w16cid:durableId="340667213">
    <w:abstractNumId w:val="10"/>
  </w:num>
  <w:num w:numId="5" w16cid:durableId="1882522668">
    <w:abstractNumId w:val="2"/>
  </w:num>
  <w:num w:numId="6" w16cid:durableId="1817994451">
    <w:abstractNumId w:val="0"/>
  </w:num>
  <w:num w:numId="7" w16cid:durableId="926040595">
    <w:abstractNumId w:val="1"/>
  </w:num>
  <w:num w:numId="8" w16cid:durableId="1878464053">
    <w:abstractNumId w:val="4"/>
  </w:num>
  <w:num w:numId="9" w16cid:durableId="1921451440">
    <w:abstractNumId w:val="5"/>
  </w:num>
  <w:num w:numId="10" w16cid:durableId="833572432">
    <w:abstractNumId w:val="3"/>
  </w:num>
  <w:num w:numId="11" w16cid:durableId="1704818056">
    <w:abstractNumId w:val="6"/>
  </w:num>
  <w:num w:numId="12" w16cid:durableId="206289908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D89"/>
    <w:rsid w:val="000030FB"/>
    <w:rsid w:val="00030191"/>
    <w:rsid w:val="000315EC"/>
    <w:rsid w:val="00042E87"/>
    <w:rsid w:val="00044573"/>
    <w:rsid w:val="000464F6"/>
    <w:rsid w:val="0005231C"/>
    <w:rsid w:val="00054646"/>
    <w:rsid w:val="000945CB"/>
    <w:rsid w:val="000A64EA"/>
    <w:rsid w:val="00117507"/>
    <w:rsid w:val="00120D89"/>
    <w:rsid w:val="001241C9"/>
    <w:rsid w:val="001271C8"/>
    <w:rsid w:val="00127E37"/>
    <w:rsid w:val="00161140"/>
    <w:rsid w:val="00161AC6"/>
    <w:rsid w:val="001753A6"/>
    <w:rsid w:val="00197E6F"/>
    <w:rsid w:val="001A3693"/>
    <w:rsid w:val="001D3CAF"/>
    <w:rsid w:val="0026149E"/>
    <w:rsid w:val="002A589F"/>
    <w:rsid w:val="002B44E7"/>
    <w:rsid w:val="002D5E4F"/>
    <w:rsid w:val="00302E53"/>
    <w:rsid w:val="00326F32"/>
    <w:rsid w:val="00336437"/>
    <w:rsid w:val="00395567"/>
    <w:rsid w:val="003B199C"/>
    <w:rsid w:val="003C2B99"/>
    <w:rsid w:val="003E0C88"/>
    <w:rsid w:val="0040510F"/>
    <w:rsid w:val="00406C99"/>
    <w:rsid w:val="00410CC4"/>
    <w:rsid w:val="00475284"/>
    <w:rsid w:val="00495B81"/>
    <w:rsid w:val="004A3B04"/>
    <w:rsid w:val="004C3F6D"/>
    <w:rsid w:val="004D3A2E"/>
    <w:rsid w:val="004E04F7"/>
    <w:rsid w:val="004E78BE"/>
    <w:rsid w:val="004E7B71"/>
    <w:rsid w:val="004F5E9D"/>
    <w:rsid w:val="0050215B"/>
    <w:rsid w:val="00503FEB"/>
    <w:rsid w:val="005169AD"/>
    <w:rsid w:val="00522601"/>
    <w:rsid w:val="00524B92"/>
    <w:rsid w:val="0054618B"/>
    <w:rsid w:val="00554ED7"/>
    <w:rsid w:val="005844FB"/>
    <w:rsid w:val="00586107"/>
    <w:rsid w:val="005B2D2A"/>
    <w:rsid w:val="005D5B76"/>
    <w:rsid w:val="005F09B9"/>
    <w:rsid w:val="005F3B43"/>
    <w:rsid w:val="00600C07"/>
    <w:rsid w:val="0061624E"/>
    <w:rsid w:val="0061687A"/>
    <w:rsid w:val="006668B7"/>
    <w:rsid w:val="0067157E"/>
    <w:rsid w:val="00673FCA"/>
    <w:rsid w:val="006742CB"/>
    <w:rsid w:val="00674CB9"/>
    <w:rsid w:val="00676AA6"/>
    <w:rsid w:val="006A7303"/>
    <w:rsid w:val="006C5955"/>
    <w:rsid w:val="0071177B"/>
    <w:rsid w:val="007566B7"/>
    <w:rsid w:val="00767105"/>
    <w:rsid w:val="00767C23"/>
    <w:rsid w:val="007760FC"/>
    <w:rsid w:val="00785B99"/>
    <w:rsid w:val="00792179"/>
    <w:rsid w:val="007C7231"/>
    <w:rsid w:val="007D2E0C"/>
    <w:rsid w:val="007E4814"/>
    <w:rsid w:val="00800F82"/>
    <w:rsid w:val="00803C0D"/>
    <w:rsid w:val="00823E28"/>
    <w:rsid w:val="00833BA9"/>
    <w:rsid w:val="00860811"/>
    <w:rsid w:val="00860967"/>
    <w:rsid w:val="008932EE"/>
    <w:rsid w:val="00895EC1"/>
    <w:rsid w:val="008A027D"/>
    <w:rsid w:val="008B23CF"/>
    <w:rsid w:val="008E3B54"/>
    <w:rsid w:val="008F011A"/>
    <w:rsid w:val="00907B0A"/>
    <w:rsid w:val="0091109F"/>
    <w:rsid w:val="00917342"/>
    <w:rsid w:val="009420A8"/>
    <w:rsid w:val="00964923"/>
    <w:rsid w:val="00965D18"/>
    <w:rsid w:val="00970473"/>
    <w:rsid w:val="009768AF"/>
    <w:rsid w:val="009D348A"/>
    <w:rsid w:val="009F381B"/>
    <w:rsid w:val="00A14A3D"/>
    <w:rsid w:val="00A26E0E"/>
    <w:rsid w:val="00A51746"/>
    <w:rsid w:val="00A53131"/>
    <w:rsid w:val="00A54560"/>
    <w:rsid w:val="00A72F07"/>
    <w:rsid w:val="00AA6719"/>
    <w:rsid w:val="00AC645B"/>
    <w:rsid w:val="00AF2EF2"/>
    <w:rsid w:val="00AF681B"/>
    <w:rsid w:val="00B2450A"/>
    <w:rsid w:val="00B47DB3"/>
    <w:rsid w:val="00B64D55"/>
    <w:rsid w:val="00B7471A"/>
    <w:rsid w:val="00B912FB"/>
    <w:rsid w:val="00B949BC"/>
    <w:rsid w:val="00BC7B19"/>
    <w:rsid w:val="00BD183D"/>
    <w:rsid w:val="00BD6C2E"/>
    <w:rsid w:val="00BF2CDF"/>
    <w:rsid w:val="00BF3781"/>
    <w:rsid w:val="00C049D2"/>
    <w:rsid w:val="00C0546C"/>
    <w:rsid w:val="00C21932"/>
    <w:rsid w:val="00C21AD7"/>
    <w:rsid w:val="00C228FC"/>
    <w:rsid w:val="00C23BB0"/>
    <w:rsid w:val="00C325EE"/>
    <w:rsid w:val="00C415D8"/>
    <w:rsid w:val="00C60576"/>
    <w:rsid w:val="00C9345F"/>
    <w:rsid w:val="00C95A5F"/>
    <w:rsid w:val="00CA722A"/>
    <w:rsid w:val="00CB0BC1"/>
    <w:rsid w:val="00CC2A6F"/>
    <w:rsid w:val="00CF2E6E"/>
    <w:rsid w:val="00CF4CB4"/>
    <w:rsid w:val="00CF579F"/>
    <w:rsid w:val="00D04616"/>
    <w:rsid w:val="00D27C67"/>
    <w:rsid w:val="00D555D0"/>
    <w:rsid w:val="00D5694A"/>
    <w:rsid w:val="00D64DC3"/>
    <w:rsid w:val="00D725EF"/>
    <w:rsid w:val="00D7712F"/>
    <w:rsid w:val="00D85761"/>
    <w:rsid w:val="00DA0E8B"/>
    <w:rsid w:val="00DE1B9F"/>
    <w:rsid w:val="00DF2CC2"/>
    <w:rsid w:val="00E14B29"/>
    <w:rsid w:val="00E207E5"/>
    <w:rsid w:val="00E27D85"/>
    <w:rsid w:val="00E327C8"/>
    <w:rsid w:val="00E45A3A"/>
    <w:rsid w:val="00E91BF3"/>
    <w:rsid w:val="00ED40BA"/>
    <w:rsid w:val="00EE6285"/>
    <w:rsid w:val="00F216EC"/>
    <w:rsid w:val="00F23D31"/>
    <w:rsid w:val="00F32585"/>
    <w:rsid w:val="00F74E71"/>
    <w:rsid w:val="00FD019A"/>
    <w:rsid w:val="00FE040C"/>
    <w:rsid w:val="00FF4F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957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D89"/>
    <w:pPr>
      <w:spacing w:after="0" w:line="240" w:lineRule="auto"/>
    </w:pPr>
    <w:rPr>
      <w:rFonts w:ascii="Times New Roman" w:eastAsia="Times New Roman" w:hAnsi="Times New Roman" w:cs="Times New Roman"/>
      <w:color w:val="000000"/>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20D89"/>
    <w:pPr>
      <w:tabs>
        <w:tab w:val="center" w:pos="4513"/>
        <w:tab w:val="right" w:pos="9026"/>
      </w:tabs>
    </w:pPr>
  </w:style>
  <w:style w:type="character" w:customStyle="1" w:styleId="FooterChar">
    <w:name w:val="Footer Char"/>
    <w:basedOn w:val="DefaultParagraphFont"/>
    <w:link w:val="Footer"/>
    <w:uiPriority w:val="99"/>
    <w:rsid w:val="00120D89"/>
  </w:style>
  <w:style w:type="paragraph" w:styleId="Header">
    <w:name w:val="header"/>
    <w:basedOn w:val="Normal"/>
    <w:link w:val="HeaderChar"/>
    <w:uiPriority w:val="99"/>
    <w:unhideWhenUsed/>
    <w:rsid w:val="00120D89"/>
    <w:pPr>
      <w:tabs>
        <w:tab w:val="center" w:pos="4513"/>
        <w:tab w:val="right" w:pos="9026"/>
      </w:tabs>
    </w:pPr>
  </w:style>
  <w:style w:type="character" w:customStyle="1" w:styleId="HeaderChar">
    <w:name w:val="Header Char"/>
    <w:basedOn w:val="DefaultParagraphFont"/>
    <w:link w:val="Header"/>
    <w:uiPriority w:val="99"/>
    <w:rsid w:val="00120D89"/>
    <w:rPr>
      <w:rFonts w:ascii="Times New Roman" w:eastAsia="Times New Roman" w:hAnsi="Times New Roman" w:cs="Times New Roman"/>
      <w:color w:val="000000"/>
      <w:sz w:val="24"/>
      <w:szCs w:val="20"/>
      <w:lang w:eastAsia="en-AU"/>
    </w:rPr>
  </w:style>
  <w:style w:type="paragraph" w:styleId="ListParagraph">
    <w:name w:val="List Paragraph"/>
    <w:basedOn w:val="Normal"/>
    <w:uiPriority w:val="34"/>
    <w:qFormat/>
    <w:rsid w:val="00120D89"/>
    <w:pPr>
      <w:ind w:left="720"/>
      <w:contextualSpacing/>
    </w:pPr>
  </w:style>
  <w:style w:type="paragraph" w:styleId="BalloonText">
    <w:name w:val="Balloon Text"/>
    <w:basedOn w:val="Normal"/>
    <w:link w:val="BalloonTextChar"/>
    <w:uiPriority w:val="99"/>
    <w:semiHidden/>
    <w:unhideWhenUsed/>
    <w:rsid w:val="00503F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FEB"/>
    <w:rPr>
      <w:rFonts w:ascii="Segoe UI" w:eastAsia="Times New Roman" w:hAnsi="Segoe UI" w:cs="Segoe UI"/>
      <w:color w:val="000000"/>
      <w:sz w:val="18"/>
      <w:szCs w:val="18"/>
      <w:lang w:eastAsia="en-AU"/>
    </w:rPr>
  </w:style>
  <w:style w:type="character" w:styleId="CommentReference">
    <w:name w:val="annotation reference"/>
    <w:basedOn w:val="DefaultParagraphFont"/>
    <w:uiPriority w:val="99"/>
    <w:semiHidden/>
    <w:unhideWhenUsed/>
    <w:rsid w:val="007C7231"/>
    <w:rPr>
      <w:sz w:val="16"/>
      <w:szCs w:val="16"/>
    </w:rPr>
  </w:style>
  <w:style w:type="paragraph" w:styleId="CommentText">
    <w:name w:val="annotation text"/>
    <w:basedOn w:val="Normal"/>
    <w:link w:val="CommentTextChar"/>
    <w:uiPriority w:val="99"/>
    <w:semiHidden/>
    <w:unhideWhenUsed/>
    <w:rsid w:val="007C7231"/>
    <w:rPr>
      <w:sz w:val="20"/>
    </w:rPr>
  </w:style>
  <w:style w:type="character" w:customStyle="1" w:styleId="CommentTextChar">
    <w:name w:val="Comment Text Char"/>
    <w:basedOn w:val="DefaultParagraphFont"/>
    <w:link w:val="CommentText"/>
    <w:uiPriority w:val="99"/>
    <w:semiHidden/>
    <w:rsid w:val="007C7231"/>
    <w:rPr>
      <w:rFonts w:ascii="Times New Roman" w:eastAsia="Times New Roman" w:hAnsi="Times New Roman" w:cs="Times New Roman"/>
      <w:color w:val="000000"/>
      <w:sz w:val="20"/>
      <w:szCs w:val="20"/>
      <w:lang w:eastAsia="en-AU"/>
    </w:rPr>
  </w:style>
  <w:style w:type="paragraph" w:styleId="CommentSubject">
    <w:name w:val="annotation subject"/>
    <w:basedOn w:val="CommentText"/>
    <w:next w:val="CommentText"/>
    <w:link w:val="CommentSubjectChar"/>
    <w:uiPriority w:val="99"/>
    <w:semiHidden/>
    <w:unhideWhenUsed/>
    <w:rsid w:val="007C7231"/>
    <w:rPr>
      <w:b/>
      <w:bCs/>
    </w:rPr>
  </w:style>
  <w:style w:type="character" w:customStyle="1" w:styleId="CommentSubjectChar">
    <w:name w:val="Comment Subject Char"/>
    <w:basedOn w:val="CommentTextChar"/>
    <w:link w:val="CommentSubject"/>
    <w:uiPriority w:val="99"/>
    <w:semiHidden/>
    <w:rsid w:val="007C7231"/>
    <w:rPr>
      <w:rFonts w:ascii="Times New Roman" w:eastAsia="Times New Roman" w:hAnsi="Times New Roman" w:cs="Times New Roman"/>
      <w:b/>
      <w:bCs/>
      <w:color w:val="000000"/>
      <w:sz w:val="20"/>
      <w:szCs w:val="20"/>
      <w:lang w:eastAsia="en-AU"/>
    </w:rPr>
  </w:style>
  <w:style w:type="character" w:styleId="Hyperlink">
    <w:name w:val="Hyperlink"/>
    <w:basedOn w:val="DefaultParagraphFont"/>
    <w:uiPriority w:val="99"/>
    <w:unhideWhenUsed/>
    <w:rsid w:val="0061687A"/>
    <w:rPr>
      <w:color w:val="0563C1" w:themeColor="hyperlink"/>
      <w:u w:val="single"/>
    </w:rPr>
  </w:style>
  <w:style w:type="character" w:styleId="UnresolvedMention">
    <w:name w:val="Unresolved Mention"/>
    <w:basedOn w:val="DefaultParagraphFont"/>
    <w:uiPriority w:val="99"/>
    <w:semiHidden/>
    <w:unhideWhenUsed/>
    <w:rsid w:val="006168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64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Attachments/Response.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6" ma:contentTypeDescription="Create a new document." ma:contentTypeScope="" ma:versionID="87bd04697882a21302223ad9bb975025">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7709fac38f0d45dc577096e22a373dff"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879720-a610-4f30-a10e-48b90a9c40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5eeee3-04d4-4a2c-a887-f0b00c2c6e6f}" ma:internalName="TaxCatchAll" ma:showField="CatchAllData" ma:web="63e311de-a790-43ff-be63-577c26c750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3e311de-a790-43ff-be63-577c26c7507c">
      <UserInfo>
        <DisplayName/>
        <AccountId xsi:nil="true"/>
        <AccountType/>
      </UserInfo>
    </SharedWithUsers>
    <lcf76f155ced4ddcb4097134ff3c332f xmlns="b8ed82f2-f7bd-423c-8698-5e132afe9245">
      <Terms xmlns="http://schemas.microsoft.com/office/infopath/2007/PartnerControls"/>
    </lcf76f155ced4ddcb4097134ff3c332f>
    <TaxCatchAll xmlns="63e311de-a790-43ff-be63-577c26c7507c" xsi:nil="true"/>
  </documentManagement>
</p:properties>
</file>

<file path=customXml/itemProps1.xml><?xml version="1.0" encoding="utf-8"?>
<ds:datastoreItem xmlns:ds="http://schemas.openxmlformats.org/officeDocument/2006/customXml" ds:itemID="{159ACE3D-BCAF-4022-B160-D8E04794C59F}">
  <ds:schemaRefs>
    <ds:schemaRef ds:uri="http://schemas.microsoft.com/sharepoint/v3/contenttype/forms"/>
  </ds:schemaRefs>
</ds:datastoreItem>
</file>

<file path=customXml/itemProps2.xml><?xml version="1.0" encoding="utf-8"?>
<ds:datastoreItem xmlns:ds="http://schemas.openxmlformats.org/officeDocument/2006/customXml" ds:itemID="{F928DFA1-36DD-482D-8EA0-8C95A1805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E03B74-DA74-47ED-92B1-2AB3BB311B1F}">
  <ds:schemaRefs>
    <ds:schemaRef ds:uri="http://purl.org/dc/terms/"/>
    <ds:schemaRef ds:uri="b8ed82f2-f7bd-423c-8698-5e132afe9245"/>
    <ds:schemaRef ds:uri="http://schemas.microsoft.com/office/2006/documentManagement/types"/>
    <ds:schemaRef ds:uri="63e311de-a790-43ff-be63-577c26c7507c"/>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299</Words>
  <Characters>1930</Characters>
  <Application>Microsoft Office Word</Application>
  <DocSecurity>0</DocSecurity>
  <Lines>30</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Base>https://www.cabinet.qld.gov.au/documents/2022/Apr/GovtRespTAFVP/</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9</cp:revision>
  <cp:lastPrinted>2022-06-15T04:32:00Z</cp:lastPrinted>
  <dcterms:created xsi:type="dcterms:W3CDTF">2022-06-09T02:21:00Z</dcterms:created>
  <dcterms:modified xsi:type="dcterms:W3CDTF">2022-10-16T22:40:00Z</dcterms:modified>
  <cp:category>Alcohol,Violence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0x010100C6195581182D5D4CAF2C4EF63CF37A03</vt:lpwstr>
  </property>
  <property fmtid="{D5CDD505-2E9C-101B-9397-08002B2CF9AE}" pid="3" name="Order">
    <vt:r8>553200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y fmtid="{D5CDD505-2E9C-101B-9397-08002B2CF9AE}" pid="8" name="MSIP_Label_282828d4-d65e-4c38-b4f3-1feba3142871_Enabled">
    <vt:lpwstr>true</vt:lpwstr>
  </property>
  <property fmtid="{D5CDD505-2E9C-101B-9397-08002B2CF9AE}" pid="9" name="MSIP_Label_282828d4-d65e-4c38-b4f3-1feba3142871_SetDate">
    <vt:lpwstr>2022-10-16T22:40:09Z</vt:lpwstr>
  </property>
  <property fmtid="{D5CDD505-2E9C-101B-9397-08002B2CF9AE}" pid="10" name="MSIP_Label_282828d4-d65e-4c38-b4f3-1feba3142871_Method">
    <vt:lpwstr>Standard</vt:lpwstr>
  </property>
  <property fmtid="{D5CDD505-2E9C-101B-9397-08002B2CF9AE}" pid="11" name="MSIP_Label_282828d4-d65e-4c38-b4f3-1feba3142871_Name">
    <vt:lpwstr>OFFICIAL</vt:lpwstr>
  </property>
  <property fmtid="{D5CDD505-2E9C-101B-9397-08002B2CF9AE}" pid="12" name="MSIP_Label_282828d4-d65e-4c38-b4f3-1feba3142871_SiteId">
    <vt:lpwstr>51778d2a-a6ab-4c76-97dc-782782d65046</vt:lpwstr>
  </property>
  <property fmtid="{D5CDD505-2E9C-101B-9397-08002B2CF9AE}" pid="13" name="MSIP_Label_282828d4-d65e-4c38-b4f3-1feba3142871_ActionId">
    <vt:lpwstr>953ad5ad-df24-48f3-a0d3-6deebb2e6bcd</vt:lpwstr>
  </property>
  <property fmtid="{D5CDD505-2E9C-101B-9397-08002B2CF9AE}" pid="14" name="MSIP_Label_282828d4-d65e-4c38-b4f3-1feba3142871_ContentBits">
    <vt:lpwstr>0</vt:lpwstr>
  </property>
</Properties>
</file>